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BCF" w:rsidRDefault="00301ADF">
      <w:pPr>
        <w:pStyle w:val="Title"/>
        <w:spacing w:line="259" w:lineRule="auto"/>
      </w:pPr>
      <w:bookmarkStart w:id="0" w:name="_GoBack"/>
      <w:bookmarkEnd w:id="0"/>
      <w:r>
        <w:t>El psicoanálisis de grupo y los sueños en comunidades originarias del territorio mexicano</w:t>
      </w:r>
    </w:p>
    <w:p w:rsidR="002F1BCF" w:rsidRDefault="002F1BCF">
      <w:pPr>
        <w:pStyle w:val="Title"/>
        <w:spacing w:line="360" w:lineRule="auto"/>
        <w:rPr>
          <w:rFonts w:ascii="Arial" w:eastAsia="Arial" w:hAnsi="Arial"/>
          <w:sz w:val="24"/>
          <w:szCs w:val="24"/>
        </w:rPr>
      </w:pPr>
    </w:p>
    <w:p w:rsidR="002F1BCF" w:rsidRDefault="00301ADF">
      <w:pPr>
        <w:pStyle w:val="Heading1"/>
        <w:spacing w:line="360" w:lineRule="auto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Es Jean-Bertrand Pontalis el que abre la disertación sobre los sueños en grupo. En su libro </w:t>
      </w:r>
      <w:r>
        <w:rPr>
          <w:rFonts w:ascii="Arial" w:eastAsia="Arial" w:hAnsi="Arial"/>
          <w:i/>
          <w:sz w:val="24"/>
          <w:szCs w:val="24"/>
        </w:rPr>
        <w:t>El grupo como objeto</w:t>
      </w:r>
      <w:r>
        <w:rPr>
          <w:rFonts w:ascii="Arial" w:eastAsia="Arial" w:hAnsi="Arial"/>
          <w:sz w:val="24"/>
          <w:szCs w:val="24"/>
        </w:rPr>
        <w:t xml:space="preserve"> (1963) plantea que “cuando más se avanza </w:t>
      </w:r>
      <w:r>
        <w:rPr>
          <w:rFonts w:ascii="Arial" w:eastAsia="Arial" w:hAnsi="Arial"/>
          <w:sz w:val="24"/>
          <w:szCs w:val="24"/>
        </w:rPr>
        <w:t>en la vida de un grupo, en menor medida los sueños que se relatan en él, invitan a la interpretación. En su lugar, ellos se presentan cada vez más como autointerpretaciones de su situación por parte del grupo... pero como autointerpretación, como respuesta</w:t>
      </w:r>
      <w:r>
        <w:rPr>
          <w:rFonts w:ascii="Arial" w:eastAsia="Arial" w:hAnsi="Arial"/>
          <w:sz w:val="24"/>
          <w:szCs w:val="24"/>
        </w:rPr>
        <w:t xml:space="preserve"> al inconsciente del grupo, el sueño es también mensaje... modifica el equilibrio económico del grupo, el juego de las catexias y contracatexias, tanto en el grupo como en las personas... El sueño desata al grupo... da lugar a un funcionamiento de acuerdo </w:t>
      </w:r>
      <w:r>
        <w:rPr>
          <w:rFonts w:ascii="Arial" w:eastAsia="Arial" w:hAnsi="Arial"/>
          <w:sz w:val="24"/>
          <w:szCs w:val="24"/>
        </w:rPr>
        <w:t>con el proceso primario”. Didier Anzieu había dicho ya en 1966 que, desde el punto de vista de la dinámica psíquica, el grupo es como un sueño y una ilusión.</w:t>
      </w:r>
    </w:p>
    <w:p w:rsidR="002F1BCF" w:rsidRDefault="00301ADF">
      <w:pPr>
        <w:spacing w:after="160" w:line="360" w:lineRule="auto"/>
        <w:ind w:firstLine="80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El siglo </w:t>
      </w:r>
      <w:r>
        <w:rPr>
          <w:rFonts w:ascii="Arial" w:eastAsia="Arial" w:hAnsi="Arial"/>
          <w:smallCaps/>
          <w:sz w:val="24"/>
          <w:szCs w:val="24"/>
        </w:rPr>
        <w:t>xx</w:t>
      </w:r>
      <w:r>
        <w:rPr>
          <w:rFonts w:ascii="Arial" w:eastAsia="Arial" w:hAnsi="Arial"/>
          <w:sz w:val="24"/>
          <w:szCs w:val="24"/>
        </w:rPr>
        <w:t xml:space="preserve"> se convierte en el siglo del psicoanálisis a partir de que se publica </w:t>
      </w:r>
      <w:r>
        <w:rPr>
          <w:rFonts w:ascii="Arial" w:eastAsia="Arial" w:hAnsi="Arial"/>
          <w:i/>
          <w:sz w:val="24"/>
          <w:szCs w:val="24"/>
        </w:rPr>
        <w:t>La interpretació</w:t>
      </w:r>
      <w:r>
        <w:rPr>
          <w:rFonts w:ascii="Arial" w:eastAsia="Arial" w:hAnsi="Arial"/>
          <w:i/>
          <w:sz w:val="24"/>
          <w:szCs w:val="24"/>
        </w:rPr>
        <w:t>n de los sueños</w:t>
      </w:r>
      <w:r>
        <w:rPr>
          <w:rFonts w:ascii="Arial" w:eastAsia="Arial" w:hAnsi="Arial"/>
          <w:sz w:val="24"/>
          <w:szCs w:val="24"/>
        </w:rPr>
        <w:t xml:space="preserve"> de Sigmund Freud. En este libro se analiza la formación de los sueños desde el inconsciente y éstos como la </w:t>
      </w:r>
      <w:r>
        <w:rPr>
          <w:rFonts w:ascii="Arial" w:eastAsia="Arial" w:hAnsi="Arial"/>
          <w:i/>
          <w:sz w:val="24"/>
          <w:szCs w:val="24"/>
        </w:rPr>
        <w:t>via regia</w:t>
      </w:r>
      <w:r>
        <w:rPr>
          <w:rFonts w:ascii="Arial" w:eastAsia="Arial" w:hAnsi="Arial"/>
          <w:sz w:val="24"/>
          <w:szCs w:val="24"/>
        </w:rPr>
        <w:t xml:space="preserve"> para conocerlo. Describe además cómo se forman las imágenes con base en la condensación y desplazamiento. Cada imagen disf</w:t>
      </w:r>
      <w:r>
        <w:rPr>
          <w:rFonts w:ascii="Arial" w:eastAsia="Arial" w:hAnsi="Arial"/>
          <w:sz w:val="24"/>
          <w:szCs w:val="24"/>
        </w:rPr>
        <w:t xml:space="preserve">raza el verdadero contenido del inconsciente que incluye las pulsiones de vida y de muerte. </w:t>
      </w:r>
    </w:p>
    <w:p w:rsidR="002F1BCF" w:rsidRDefault="00301ADF">
      <w:pPr>
        <w:spacing w:after="160" w:line="360" w:lineRule="auto"/>
        <w:ind w:firstLine="80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De esta manera y dentro del psicoanálisis de la cura, se propone despejar las incógnitas que el sueño y sus imágenes representan para el grupo, los cuales se relac</w:t>
      </w:r>
      <w:r>
        <w:rPr>
          <w:rFonts w:ascii="Arial" w:eastAsia="Arial" w:hAnsi="Arial"/>
          <w:sz w:val="24"/>
          <w:szCs w:val="24"/>
        </w:rPr>
        <w:t>ionan con las dos acepciones convencionales del aparato psíquico: la versión topológica acerca de lo inconsciente, lo preconsciente y lo consciente, y la versión estructural que incluye el yo, el ello, el superyo y la realidad.</w:t>
      </w:r>
    </w:p>
    <w:p w:rsidR="002F1BCF" w:rsidRDefault="00301ADF">
      <w:pPr>
        <w:spacing w:after="160" w:line="360" w:lineRule="auto"/>
        <w:ind w:firstLine="80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Este artículo trata de recon</w:t>
      </w:r>
      <w:r>
        <w:rPr>
          <w:rFonts w:ascii="Arial" w:eastAsia="Arial" w:hAnsi="Arial"/>
          <w:sz w:val="24"/>
          <w:szCs w:val="24"/>
        </w:rPr>
        <w:t>ocer las características del sueño en los grupos y particularmente en las comunidades originarias en México. Nos basamos en una relativa nueva propuesta de René Kaës y otros autores relacionados con el Círculo de Estudios Franceses para la Formación y la I</w:t>
      </w:r>
      <w:r>
        <w:rPr>
          <w:rFonts w:ascii="Arial" w:eastAsia="Arial" w:hAnsi="Arial"/>
          <w:sz w:val="24"/>
          <w:szCs w:val="24"/>
        </w:rPr>
        <w:t>nvestigación en Psicología Dinámica de la Personalidad y Grupos Humanos (</w:t>
      </w:r>
      <w:r>
        <w:rPr>
          <w:rFonts w:ascii="Arial" w:eastAsia="Arial" w:hAnsi="Arial"/>
          <w:smallCaps/>
          <w:sz w:val="24"/>
          <w:szCs w:val="24"/>
        </w:rPr>
        <w:t>cefrap</w:t>
      </w:r>
      <w:r>
        <w:rPr>
          <w:rFonts w:ascii="Arial" w:eastAsia="Arial" w:hAnsi="Arial"/>
          <w:sz w:val="24"/>
          <w:szCs w:val="24"/>
        </w:rPr>
        <w:t xml:space="preserve">), que plantean una manera distinta de comprender el aparato psíquico grupal, en la que incluyen términos como las alianzas inconscientes, los </w:t>
      </w:r>
      <w:r>
        <w:rPr>
          <w:rFonts w:ascii="Arial" w:eastAsia="Arial" w:hAnsi="Arial"/>
          <w:sz w:val="24"/>
          <w:szCs w:val="24"/>
        </w:rPr>
        <w:lastRenderedPageBreak/>
        <w:t xml:space="preserve">movimientos fóricos representados </w:t>
      </w:r>
      <w:r>
        <w:rPr>
          <w:rFonts w:ascii="Arial" w:eastAsia="Arial" w:hAnsi="Arial"/>
          <w:sz w:val="24"/>
          <w:szCs w:val="24"/>
        </w:rPr>
        <w:t>por el portapalabra, el portasíntoma, el portasueño, el portaideología, etc., y que, combinados con los grupos internos, forman la base de dicho aparato, y que complementa las otras concepciones que del mismo tienen más de 50 años de ser estudiadas y han c</w:t>
      </w:r>
      <w:r>
        <w:rPr>
          <w:rFonts w:ascii="Arial" w:eastAsia="Arial" w:hAnsi="Arial"/>
          <w:sz w:val="24"/>
          <w:szCs w:val="24"/>
        </w:rPr>
        <w:t>ontribuido notablemente a la comprensión de los sueños en grupo.</w:t>
      </w:r>
    </w:p>
    <w:p w:rsidR="002F1BCF" w:rsidRDefault="00301ADF">
      <w:pPr>
        <w:spacing w:after="160" w:line="360" w:lineRule="auto"/>
        <w:ind w:firstLine="80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Este trabajo pretende relatar la experiencia grupal de cientos de años de las comunidades originarias en México, con el objetivo de entender la manera en que éstas viven la subjetividad.</w:t>
      </w:r>
    </w:p>
    <w:p w:rsidR="002F1BCF" w:rsidRDefault="002F1BCF">
      <w:pPr>
        <w:pStyle w:val="Title"/>
        <w:spacing w:line="360" w:lineRule="auto"/>
        <w:jc w:val="both"/>
        <w:rPr>
          <w:rFonts w:ascii="Arial" w:eastAsia="Arial" w:hAnsi="Arial"/>
          <w:sz w:val="24"/>
          <w:szCs w:val="24"/>
        </w:rPr>
      </w:pPr>
    </w:p>
    <w:p w:rsidR="002F1BCF" w:rsidRDefault="00301ADF">
      <w:pPr>
        <w:pStyle w:val="Title"/>
        <w:spacing w:line="360" w:lineRule="auto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Con</w:t>
      </w:r>
      <w:r>
        <w:rPr>
          <w:rFonts w:ascii="Arial" w:eastAsia="Arial" w:hAnsi="Arial"/>
          <w:sz w:val="24"/>
          <w:szCs w:val="24"/>
        </w:rPr>
        <w:t>cepción del mundo y de la persona</w:t>
      </w:r>
    </w:p>
    <w:p w:rsidR="002F1BCF" w:rsidRDefault="00301ADF">
      <w:pPr>
        <w:spacing w:after="160" w:line="360" w:lineRule="auto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En la cosmogonía de las culturas originarias mexicanas, la persona está formada por un cuerpo pesado y un cuerpo ligero y, aunque existen similitudes entre ellas, cada una tiene particularidades que las distinguen. Sin emb</w:t>
      </w:r>
      <w:r>
        <w:rPr>
          <w:rFonts w:ascii="Arial" w:eastAsia="Arial" w:hAnsi="Arial"/>
          <w:sz w:val="24"/>
          <w:szCs w:val="24"/>
        </w:rPr>
        <w:t xml:space="preserve">argo, es posible incluir en esta idea otras maneras de entenderla y nombrarla: cuerpo y alma, cuerpo y partes del alma o cuerpo y tonal (en náhuatl). </w:t>
      </w:r>
    </w:p>
    <w:p w:rsidR="002F1BCF" w:rsidRDefault="00301ADF">
      <w:pPr>
        <w:spacing w:after="160" w:line="360" w:lineRule="auto"/>
        <w:ind w:firstLine="80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El objetivo de esta división es considerar lo que sucede cuando la persona sueña. Este ejercicio de soñar</w:t>
      </w:r>
      <w:r>
        <w:rPr>
          <w:rFonts w:ascii="Arial" w:eastAsia="Arial" w:hAnsi="Arial"/>
          <w:sz w:val="24"/>
          <w:szCs w:val="24"/>
        </w:rPr>
        <w:t xml:space="preserve"> está considerado como un viaje. “En sus sueños cotidianos todos los seres humanos están en posibilidades de entrar en contacto con el mundo-otro... los </w:t>
      </w:r>
      <w:r>
        <w:rPr>
          <w:rFonts w:ascii="Arial" w:eastAsia="Arial" w:hAnsi="Arial"/>
          <w:i/>
          <w:sz w:val="24"/>
          <w:szCs w:val="24"/>
        </w:rPr>
        <w:t>ixtlamatkeh</w:t>
      </w:r>
      <w:r>
        <w:rPr>
          <w:rFonts w:ascii="Arial" w:eastAsia="Arial" w:hAnsi="Arial"/>
          <w:sz w:val="24"/>
          <w:szCs w:val="24"/>
        </w:rPr>
        <w:t>, “el que sabe ver”, “el que sabe soñar”, el chamán, a diferencia del hombre común, actúan a</w:t>
      </w:r>
      <w:r>
        <w:rPr>
          <w:rFonts w:ascii="Arial" w:eastAsia="Arial" w:hAnsi="Arial"/>
          <w:sz w:val="24"/>
          <w:szCs w:val="24"/>
        </w:rPr>
        <w:t xml:space="preserve"> voluntad en sus sueños” (Romero, Laura. </w:t>
      </w:r>
      <w:r>
        <w:rPr>
          <w:rFonts w:ascii="Arial" w:eastAsia="Arial" w:hAnsi="Arial"/>
          <w:i/>
          <w:sz w:val="24"/>
          <w:szCs w:val="24"/>
        </w:rPr>
        <w:t>Saber ver, saber soñar: el proceso de iniciación de los ixtlamatkeh de Tlacotepec de Díaz</w:t>
      </w:r>
      <w:r>
        <w:rPr>
          <w:rFonts w:ascii="Arial" w:eastAsia="Arial" w:hAnsi="Arial"/>
          <w:sz w:val="24"/>
          <w:szCs w:val="24"/>
        </w:rPr>
        <w:t>), que en ocasiones se llama “el viaje chamánico” y que, para los miembros de los pueblos originarios, tiene un valor y un sig</w:t>
      </w:r>
      <w:r>
        <w:rPr>
          <w:rFonts w:ascii="Arial" w:eastAsia="Arial" w:hAnsi="Arial"/>
          <w:sz w:val="24"/>
          <w:szCs w:val="24"/>
        </w:rPr>
        <w:t>nificado más real que la realidad misma. Para ellos, el mundo subjetivo es el “mundo invisible” o el “mundo-otro”, el cual representa una experiencia extraordinaria en comparación con las vivencias de la realidad cotidiana. “En el mundo invisible todos los</w:t>
      </w:r>
      <w:r>
        <w:rPr>
          <w:rFonts w:ascii="Arial" w:eastAsia="Arial" w:hAnsi="Arial"/>
          <w:sz w:val="24"/>
          <w:szCs w:val="24"/>
        </w:rPr>
        <w:t xml:space="preserve"> elementos que lo integran están constituidos por materia sutil (López Austin, Alfredo. 1994). En el mundo invisible, en la otra dimensión de la realidad, existen, se mueven y obran todos los dobles, aquellos cuerpos sutiles, invisibles y etéreos que perte</w:t>
      </w:r>
      <w:r>
        <w:rPr>
          <w:rFonts w:ascii="Arial" w:eastAsia="Arial" w:hAnsi="Arial"/>
          <w:sz w:val="24"/>
          <w:szCs w:val="24"/>
        </w:rPr>
        <w:t>necen a todas las personas de carne y hueso que existen y viven en el mundo de la vigilia”.</w:t>
      </w:r>
    </w:p>
    <w:p w:rsidR="002F1BCF" w:rsidRDefault="00301ADF">
      <w:pPr>
        <w:spacing w:after="160" w:line="360" w:lineRule="auto"/>
        <w:ind w:firstLine="80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lastRenderedPageBreak/>
        <w:t>Durante el viaje, el cuerpo ligero atraviesa el mundo imaginario de la comunidad, un mundo lleno de representaciones al que consideran sagrado y que también incluye</w:t>
      </w:r>
      <w:r>
        <w:rPr>
          <w:rFonts w:ascii="Arial" w:eastAsia="Arial" w:hAnsi="Arial"/>
          <w:sz w:val="24"/>
          <w:szCs w:val="24"/>
        </w:rPr>
        <w:t xml:space="preserve"> a la naturaleza que los rodea, ya que ríos y lagos, montes y valles, bosques y montañas, también tienen para ellos una connotación simbólica sacra.</w:t>
      </w:r>
    </w:p>
    <w:p w:rsidR="002F1BCF" w:rsidRDefault="00301ADF">
      <w:pPr>
        <w:spacing w:after="160" w:line="360" w:lineRule="auto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      Al mismo tiempo, en esta travesía, las personas acceden a la posibilidad de encontrarse con diferente</w:t>
      </w:r>
      <w:r>
        <w:rPr>
          <w:rFonts w:ascii="Arial" w:eastAsia="Arial" w:hAnsi="Arial"/>
          <w:sz w:val="24"/>
          <w:szCs w:val="24"/>
        </w:rPr>
        <w:t xml:space="preserve">s personajes, desde los vecinos y familiares con los que comparten su vida cotidiana, hasta los antepasados y las deidades propias de su comunidad que, como producto del sincretismo, abarcan desde sus dioses prehispánicos hasta los santos del cristianismo </w:t>
      </w:r>
      <w:r>
        <w:rPr>
          <w:rFonts w:ascii="Arial" w:eastAsia="Arial" w:hAnsi="Arial"/>
          <w:sz w:val="24"/>
          <w:szCs w:val="24"/>
        </w:rPr>
        <w:t xml:space="preserve">impuesto por los españoles. </w:t>
      </w:r>
    </w:p>
    <w:p w:rsidR="002F1BCF" w:rsidRDefault="002F1BCF">
      <w:pPr>
        <w:pStyle w:val="NoSpacing"/>
        <w:spacing w:line="360" w:lineRule="auto"/>
        <w:rPr>
          <w:rFonts w:ascii="Arial" w:eastAsia="Arial" w:hAnsi="Arial"/>
          <w:sz w:val="24"/>
          <w:szCs w:val="24"/>
        </w:rPr>
      </w:pPr>
    </w:p>
    <w:p w:rsidR="002F1BCF" w:rsidRDefault="00301ADF">
      <w:pPr>
        <w:pStyle w:val="Title"/>
        <w:spacing w:line="360" w:lineRule="auto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El chamán, el músico y los sueños</w:t>
      </w:r>
    </w:p>
    <w:p w:rsidR="002F1BCF" w:rsidRDefault="00301ADF">
      <w:pPr>
        <w:pStyle w:val="Title"/>
        <w:spacing w:line="360" w:lineRule="auto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En los pueblos originarios, los sueños son determinantes para designar a los nuevos chamanes y músicos. Se toman en cuenta una serie de signos o señales que van definiendo a los elegidos, inde</w:t>
      </w:r>
      <w:r>
        <w:rPr>
          <w:rFonts w:ascii="Arial" w:eastAsia="Arial" w:hAnsi="Arial"/>
          <w:sz w:val="24"/>
          <w:szCs w:val="24"/>
        </w:rPr>
        <w:t>pendientemente de su cuna. Ellos necesariamente tendrán que haber experimentado una serie de vivencias lúcidas y oníricas, incluso antes de su nacimiento, las cuales los distinguen en su desarrollo</w:t>
      </w:r>
      <w:r>
        <w:rPr>
          <w:rFonts w:ascii="Arial" w:eastAsia="Arial" w:hAnsi="Arial"/>
          <w:sz w:val="24"/>
          <w:szCs w:val="24"/>
        </w:rPr>
        <w:t xml:space="preserve">. </w:t>
      </w:r>
    </w:p>
    <w:p w:rsidR="002F1BCF" w:rsidRDefault="00301ADF">
      <w:pPr>
        <w:spacing w:after="160" w:line="360" w:lineRule="auto"/>
        <w:ind w:firstLine="80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De acuerdo con Antonella Fagetti, coordinadora de </w:t>
      </w:r>
      <w:r>
        <w:rPr>
          <w:rFonts w:ascii="Arial" w:eastAsia="Arial" w:hAnsi="Arial"/>
          <w:i/>
          <w:sz w:val="24"/>
          <w:szCs w:val="24"/>
        </w:rPr>
        <w:t>Inicia</w:t>
      </w:r>
      <w:r>
        <w:rPr>
          <w:rFonts w:ascii="Arial" w:eastAsia="Arial" w:hAnsi="Arial"/>
          <w:i/>
          <w:sz w:val="24"/>
          <w:szCs w:val="24"/>
        </w:rPr>
        <w:t>ciones, trances y sueños. Investigaciones sobre el chamanismo en Mexico</w:t>
      </w:r>
      <w:r>
        <w:rPr>
          <w:rFonts w:ascii="Arial" w:eastAsia="Arial" w:hAnsi="Arial"/>
          <w:sz w:val="24"/>
          <w:szCs w:val="24"/>
        </w:rPr>
        <w:t xml:space="preserve"> (2010), el primer signo se manifiesta en el sexto mes de embarazo: según la narración de la madre, el vientre se le desinfla y lo siente hueco, como si el feto se hubiera ido. Para la </w:t>
      </w:r>
      <w:r>
        <w:rPr>
          <w:rFonts w:ascii="Arial" w:eastAsia="Arial" w:hAnsi="Arial"/>
          <w:sz w:val="24"/>
          <w:szCs w:val="24"/>
        </w:rPr>
        <w:t xml:space="preserve">comunidad, este evento significa que el bebé ha realizado su primer viaje chamánico hacia el mundo-otro, para después regresar al vientre materno. </w:t>
      </w:r>
    </w:p>
    <w:p w:rsidR="002F1BCF" w:rsidRDefault="00301ADF">
      <w:pPr>
        <w:spacing w:after="160" w:line="360" w:lineRule="auto"/>
        <w:ind w:firstLine="80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El segundo signo aparece en el nacimiento. Dependiendo del color de la bolsa amniótica que lo cubre, los pob</w:t>
      </w:r>
      <w:r>
        <w:rPr>
          <w:rFonts w:ascii="Arial" w:eastAsia="Arial" w:hAnsi="Arial"/>
          <w:sz w:val="24"/>
          <w:szCs w:val="24"/>
        </w:rPr>
        <w:t xml:space="preserve">ladores afirman que el neonato viene vestido de blanco o negro. Si el “ropaje” es claro, puede convertirse en chamán, pero si es oscuro, devendrá brujo. </w:t>
      </w:r>
    </w:p>
    <w:p w:rsidR="002F1BCF" w:rsidRDefault="00301ADF">
      <w:pPr>
        <w:spacing w:after="160" w:line="360" w:lineRule="auto"/>
        <w:ind w:firstLine="80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Las siguientes señales se revelarán durante la infancia. En ese período, el niño estará en contacto co</w:t>
      </w:r>
      <w:r>
        <w:rPr>
          <w:rFonts w:ascii="Arial" w:eastAsia="Arial" w:hAnsi="Arial"/>
          <w:sz w:val="24"/>
          <w:szCs w:val="24"/>
        </w:rPr>
        <w:t xml:space="preserve">n enfermedades propias y ajenas. Esta </w:t>
      </w:r>
      <w:r>
        <w:rPr>
          <w:rFonts w:ascii="Arial" w:eastAsia="Arial" w:hAnsi="Arial"/>
          <w:sz w:val="24"/>
          <w:szCs w:val="24"/>
        </w:rPr>
        <w:lastRenderedPageBreak/>
        <w:t xml:space="preserve">experiencia lo acercará al chamán de la comunidad para iniciar el camino de la sanación. Sin embargo, esto no será suficiente para convertirse en curador. </w:t>
      </w:r>
    </w:p>
    <w:p w:rsidR="002F1BCF" w:rsidRDefault="00301ADF">
      <w:pPr>
        <w:spacing w:after="160" w:line="360" w:lineRule="auto"/>
        <w:ind w:firstLine="80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“...las señales de la elección, sea la salida del vientre o ‘l</w:t>
      </w:r>
      <w:r>
        <w:rPr>
          <w:rFonts w:ascii="Arial" w:eastAsia="Arial" w:hAnsi="Arial"/>
          <w:sz w:val="24"/>
          <w:szCs w:val="24"/>
        </w:rPr>
        <w:t>a ropita’ deben mantenerse en secreto...para proteger al recién nacido...la constante amenaza que constituyen los antagonistas de los curanderos, los brujos naguales...estos buscarán dañar al menor, atraparlo en sus salidas nocturnas y perderlo ocasionándo</w:t>
      </w:r>
      <w:r>
        <w:rPr>
          <w:rFonts w:ascii="Arial" w:eastAsia="Arial" w:hAnsi="Arial"/>
          <w:sz w:val="24"/>
          <w:szCs w:val="24"/>
        </w:rPr>
        <w:t xml:space="preserve">le la muerte. Es una lucha entre el bien y el mal. El </w:t>
      </w:r>
      <w:r>
        <w:rPr>
          <w:rFonts w:ascii="Arial" w:eastAsia="Arial" w:hAnsi="Arial"/>
          <w:i/>
          <w:sz w:val="24"/>
          <w:szCs w:val="24"/>
        </w:rPr>
        <w:t>ixtlamaktli</w:t>
      </w:r>
      <w:r>
        <w:rPr>
          <w:rFonts w:ascii="Arial" w:eastAsia="Arial" w:hAnsi="Arial"/>
          <w:sz w:val="24"/>
          <w:szCs w:val="24"/>
        </w:rPr>
        <w:t xml:space="preserve"> le hace un corral en el cerro (su interior) para protegerlo y esconderlo del mal” (Fagetti, op. cit.).</w:t>
      </w:r>
    </w:p>
    <w:p w:rsidR="002F1BCF" w:rsidRDefault="00301ADF">
      <w:pPr>
        <w:spacing w:after="160" w:line="360" w:lineRule="auto"/>
        <w:ind w:firstLine="80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El signo definitivo será que la persona sueñe con alguna deidad o algún antepasado, qui</w:t>
      </w:r>
      <w:r>
        <w:rPr>
          <w:rFonts w:ascii="Arial" w:eastAsia="Arial" w:hAnsi="Arial"/>
          <w:sz w:val="24"/>
          <w:szCs w:val="24"/>
        </w:rPr>
        <w:t>enes le confirmarán, durante la experiencia onírica, que está listo para convertirse en chamán y dedicarse a sanar. Es este sueño lo que define, sin lugar a dudas, la vocación para curar y que representa para toda la comunidad el advenimiento de un nuevo c</w:t>
      </w:r>
      <w:r>
        <w:rPr>
          <w:rFonts w:ascii="Arial" w:eastAsia="Arial" w:hAnsi="Arial"/>
          <w:sz w:val="24"/>
          <w:szCs w:val="24"/>
        </w:rPr>
        <w:t>hamán. Su acceso a la salud, a través de los sueños, está garantizado. “El onírico, será el ámbito donde curarán, diagnosticarán y pronosticarán la enfermedad” (Fagetti, op.cit.).</w:t>
      </w:r>
    </w:p>
    <w:p w:rsidR="002F1BCF" w:rsidRDefault="00301ADF">
      <w:pPr>
        <w:spacing w:after="160" w:line="360" w:lineRule="auto"/>
        <w:ind w:firstLine="80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Distintos antropólogos en distintas comunidades descubren los </w:t>
      </w:r>
      <w:r>
        <w:rPr>
          <w:rFonts w:ascii="Arial" w:eastAsia="Arial" w:hAnsi="Arial"/>
          <w:sz w:val="24"/>
          <w:szCs w:val="24"/>
        </w:rPr>
        <w:t xml:space="preserve">innumerables detalles que cada comunidad desarrolla para el reconocimiento del chamán.  </w:t>
      </w:r>
    </w:p>
    <w:p w:rsidR="002F1BCF" w:rsidRDefault="002F1BCF">
      <w:pPr>
        <w:pStyle w:val="Title"/>
        <w:spacing w:line="360" w:lineRule="auto"/>
        <w:jc w:val="both"/>
        <w:rPr>
          <w:rFonts w:ascii="Arial" w:eastAsia="Arial" w:hAnsi="Arial"/>
          <w:sz w:val="24"/>
          <w:szCs w:val="24"/>
        </w:rPr>
      </w:pPr>
    </w:p>
    <w:p w:rsidR="002F1BCF" w:rsidRDefault="002F1BCF">
      <w:pPr>
        <w:spacing w:after="160" w:line="259" w:lineRule="auto"/>
      </w:pPr>
    </w:p>
    <w:p w:rsidR="002F1BCF" w:rsidRDefault="002F1BCF">
      <w:pPr>
        <w:spacing w:after="160" w:line="259" w:lineRule="auto"/>
      </w:pPr>
    </w:p>
    <w:p w:rsidR="002F1BCF" w:rsidRDefault="002F1BCF">
      <w:pPr>
        <w:spacing w:after="160" w:line="259" w:lineRule="auto"/>
      </w:pPr>
    </w:p>
    <w:p w:rsidR="002F1BCF" w:rsidRDefault="002F1BCF">
      <w:pPr>
        <w:spacing w:after="160" w:line="259" w:lineRule="auto"/>
      </w:pPr>
    </w:p>
    <w:p w:rsidR="002F1BCF" w:rsidRDefault="002F1BCF">
      <w:pPr>
        <w:spacing w:after="160" w:line="259" w:lineRule="auto"/>
      </w:pPr>
    </w:p>
    <w:p w:rsidR="002F1BCF" w:rsidRDefault="002F1BCF">
      <w:pPr>
        <w:spacing w:after="160" w:line="259" w:lineRule="auto"/>
      </w:pPr>
    </w:p>
    <w:p w:rsidR="002F1BCF" w:rsidRDefault="002F1BCF">
      <w:pPr>
        <w:spacing w:after="160" w:line="259" w:lineRule="auto"/>
      </w:pPr>
    </w:p>
    <w:p w:rsidR="002F1BCF" w:rsidRDefault="002F1BCF">
      <w:pPr>
        <w:spacing w:after="160" w:line="259" w:lineRule="auto"/>
      </w:pPr>
    </w:p>
    <w:p w:rsidR="002F1BCF" w:rsidRDefault="002F1BCF">
      <w:pPr>
        <w:spacing w:after="160" w:line="259" w:lineRule="auto"/>
      </w:pPr>
    </w:p>
    <w:p w:rsidR="002F1BCF" w:rsidRDefault="002F1BCF">
      <w:pPr>
        <w:spacing w:after="160" w:line="259" w:lineRule="auto"/>
      </w:pPr>
    </w:p>
    <w:p w:rsidR="002F1BCF" w:rsidRDefault="002F1BCF">
      <w:pPr>
        <w:spacing w:after="160" w:line="259" w:lineRule="auto"/>
      </w:pPr>
    </w:p>
    <w:p w:rsidR="002F1BCF" w:rsidRDefault="002F1BCF">
      <w:pPr>
        <w:spacing w:after="160" w:line="259" w:lineRule="auto"/>
        <w:rPr>
          <w:b/>
        </w:rPr>
      </w:pPr>
    </w:p>
    <w:p w:rsidR="002F1BCF" w:rsidRDefault="00301ADF">
      <w:pPr>
        <w:spacing w:after="160" w:line="259" w:lineRule="auto"/>
        <w:rPr>
          <w:b/>
        </w:rPr>
      </w:pPr>
      <w:r>
        <w:rPr>
          <w:b/>
        </w:rPr>
        <w:lastRenderedPageBreak/>
        <w:t>BIBLIOGRAFÍA</w:t>
      </w:r>
    </w:p>
    <w:p w:rsidR="002F1BCF" w:rsidRDefault="002F1BCF">
      <w:pPr>
        <w:spacing w:after="160" w:line="259" w:lineRule="auto"/>
      </w:pPr>
    </w:p>
    <w:p w:rsidR="002F1BCF" w:rsidRDefault="00301ADF">
      <w:pPr>
        <w:spacing w:after="160" w:line="259" w:lineRule="auto"/>
      </w:pPr>
      <w:r>
        <w:t xml:space="preserve">Fagetti, Antonella, coordinadora, </w:t>
      </w:r>
      <w:r>
        <w:rPr>
          <w:i/>
        </w:rPr>
        <w:t>Iniciaciones, trances, sueños...investigaciones sobre el chamanismo en México,</w:t>
      </w:r>
      <w:r>
        <w:t xml:space="preserve"> Plaza y Valdés, México, 2010.</w:t>
      </w:r>
    </w:p>
    <w:p w:rsidR="002F1BCF" w:rsidRDefault="00301ADF">
      <w:pPr>
        <w:spacing w:after="160" w:line="259" w:lineRule="auto"/>
      </w:pPr>
      <w:r>
        <w:t xml:space="preserve">Freud, Sigmund, </w:t>
      </w:r>
      <w:r>
        <w:rPr>
          <w:i/>
        </w:rPr>
        <w:t>La interpretación de los sueños</w:t>
      </w:r>
      <w:r>
        <w:t xml:space="preserve">, en Obras Completas, Tomo I, Biblioteca Nueva, Madrid, 1981. </w:t>
      </w:r>
    </w:p>
    <w:p w:rsidR="002F1BCF" w:rsidRDefault="00301ADF">
      <w:pPr>
        <w:spacing w:after="160" w:line="259" w:lineRule="auto"/>
      </w:pPr>
      <w:r>
        <w:t xml:space="preserve">Islas Salinas, Liz Estela, </w:t>
      </w:r>
      <w:r>
        <w:rPr>
          <w:i/>
        </w:rPr>
        <w:t>Transformándose en antepasado: la iniciación del mara’akame</w:t>
      </w:r>
      <w:r>
        <w:t>, en Antonella Fagetti (coord</w:t>
      </w:r>
      <w:r>
        <w:t xml:space="preserve">.), </w:t>
      </w:r>
      <w:r>
        <w:rPr>
          <w:i/>
        </w:rPr>
        <w:t>Iniciaciones, trances, sueños... investigaciones sobre el chamanismo en México</w:t>
      </w:r>
      <w:r>
        <w:t>, Plaza y Valdés, México, 2010</w:t>
      </w:r>
    </w:p>
    <w:p w:rsidR="002F1BCF" w:rsidRDefault="00301ADF">
      <w:pPr>
        <w:spacing w:after="160" w:line="259" w:lineRule="auto"/>
      </w:pPr>
      <w:r>
        <w:t xml:space="preserve">Kaes,Rene. Un singular plural.. </w:t>
      </w:r>
    </w:p>
    <w:p w:rsidR="002F1BCF" w:rsidRDefault="00301ADF">
      <w:pPr>
        <w:spacing w:after="160" w:line="259" w:lineRule="auto"/>
      </w:pPr>
      <w:r>
        <w:t xml:space="preserve">Mojca Tercelj, Marija, </w:t>
      </w:r>
      <w:r>
        <w:rPr>
          <w:i/>
        </w:rPr>
        <w:t>Los sueños en las prácticas terapeúticas en los indígenas de Chiapas</w:t>
      </w:r>
      <w:r>
        <w:t>, en Antonella Fage</w:t>
      </w:r>
      <w:r>
        <w:t xml:space="preserve">tti (coord.), </w:t>
      </w:r>
      <w:r>
        <w:rPr>
          <w:i/>
        </w:rPr>
        <w:t>Iniciaciones, trances, sueños... investigaciones sobre el chamanismo en México</w:t>
      </w:r>
      <w:r>
        <w:t xml:space="preserve">, Plaza y Valdés, México, 2010.   </w:t>
      </w:r>
    </w:p>
    <w:p w:rsidR="002F1BCF" w:rsidRDefault="00301ADF">
      <w:pPr>
        <w:spacing w:after="160" w:line="259" w:lineRule="auto"/>
      </w:pPr>
      <w:r>
        <w:t xml:space="preserve">Pontalis, J. B. (1963), </w:t>
      </w:r>
      <w:r>
        <w:rPr>
          <w:i/>
        </w:rPr>
        <w:t>Le petit groupe comme objet</w:t>
      </w:r>
      <w:r>
        <w:t xml:space="preserve">, en </w:t>
      </w:r>
      <w:r>
        <w:rPr>
          <w:i/>
        </w:rPr>
        <w:t>Après Freiud</w:t>
      </w:r>
      <w:r>
        <w:t>, Gallimard. París, 1968.</w:t>
      </w:r>
    </w:p>
    <w:p w:rsidR="002F1BCF" w:rsidRDefault="00301ADF">
      <w:pPr>
        <w:spacing w:after="160" w:line="259" w:lineRule="auto"/>
      </w:pPr>
      <w:r>
        <w:t xml:space="preserve">Romero, Laura, </w:t>
      </w:r>
      <w:r>
        <w:rPr>
          <w:i/>
        </w:rPr>
        <w:t>Saber ver; saber soñ</w:t>
      </w:r>
      <w:r>
        <w:rPr>
          <w:i/>
        </w:rPr>
        <w:t>ar: el proceso de iniciación de los ixtlamatkeh de Tlacotepec de Díaz</w:t>
      </w:r>
      <w:r>
        <w:t xml:space="preserve">, en Antonella Fagetti (coord.), </w:t>
      </w:r>
      <w:r>
        <w:rPr>
          <w:i/>
        </w:rPr>
        <w:t>Iniciaciones, trances, sueños... investigaciones sobre el chamanismo en México</w:t>
      </w:r>
      <w:r>
        <w:t xml:space="preserve">, Plaza y Valdés, México, 2010. </w:t>
      </w:r>
    </w:p>
    <w:p w:rsidR="002F1BCF" w:rsidRDefault="002F1BCF">
      <w:pPr>
        <w:spacing w:after="160" w:line="259" w:lineRule="auto"/>
      </w:pPr>
    </w:p>
    <w:sectPr w:rsidR="002F1BCF">
      <w:pgSz w:w="11906" w:h="16838"/>
      <w:pgMar w:top="1417" w:right="1701" w:bottom="1417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compat>
    <w:balanceSingleByteDoubleByteWidth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BCF"/>
    <w:rsid w:val="002F1BCF"/>
    <w:rsid w:val="00301ADF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6CEB45-1084-4DD0-BDD1-99CD37D74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jc w:val="both"/>
    </w:pPr>
  </w:style>
  <w:style w:type="paragraph" w:styleId="Heading1">
    <w:name w:val="heading 1"/>
    <w:uiPriority w:val="7"/>
    <w:qFormat/>
    <w:pPr>
      <w:jc w:val="both"/>
      <w:outlineLvl w:val="0"/>
    </w:pPr>
    <w:rPr>
      <w:sz w:val="28"/>
      <w:szCs w:val="28"/>
    </w:rPr>
  </w:style>
  <w:style w:type="paragraph" w:styleId="Heading2">
    <w:name w:val="heading 2"/>
    <w:uiPriority w:val="8"/>
    <w:qFormat/>
    <w:pPr>
      <w:jc w:val="both"/>
      <w:outlineLvl w:val="1"/>
    </w:pPr>
  </w:style>
  <w:style w:type="paragraph" w:styleId="Heading3">
    <w:name w:val="heading 3"/>
    <w:uiPriority w:val="9"/>
    <w:qFormat/>
    <w:pPr>
      <w:ind w:left="1000" w:hanging="400"/>
      <w:jc w:val="both"/>
      <w:outlineLvl w:val="2"/>
    </w:pPr>
  </w:style>
  <w:style w:type="paragraph" w:styleId="Heading4">
    <w:name w:val="heading 4"/>
    <w:uiPriority w:val="10"/>
    <w:qFormat/>
    <w:pPr>
      <w:ind w:left="1200" w:hanging="400"/>
      <w:jc w:val="both"/>
      <w:outlineLvl w:val="3"/>
    </w:pPr>
    <w:rPr>
      <w:b/>
    </w:rPr>
  </w:style>
  <w:style w:type="paragraph" w:styleId="Heading5">
    <w:name w:val="heading 5"/>
    <w:uiPriority w:val="11"/>
    <w:qFormat/>
    <w:pPr>
      <w:ind w:left="1400" w:hanging="400"/>
      <w:jc w:val="both"/>
      <w:outlineLvl w:val="4"/>
    </w:pPr>
  </w:style>
  <w:style w:type="paragraph" w:styleId="Heading6">
    <w:name w:val="heading 6"/>
    <w:uiPriority w:val="12"/>
    <w:qFormat/>
    <w:pPr>
      <w:ind w:left="1600" w:hanging="400"/>
      <w:jc w:val="both"/>
      <w:outlineLvl w:val="5"/>
    </w:pPr>
    <w:rPr>
      <w:b/>
    </w:rPr>
  </w:style>
  <w:style w:type="paragraph" w:styleId="Heading7">
    <w:name w:val="heading 7"/>
    <w:uiPriority w:val="13"/>
    <w:qFormat/>
    <w:pPr>
      <w:ind w:left="1800" w:hanging="400"/>
      <w:jc w:val="both"/>
      <w:outlineLvl w:val="6"/>
    </w:pPr>
  </w:style>
  <w:style w:type="paragraph" w:styleId="Heading8">
    <w:name w:val="heading 8"/>
    <w:uiPriority w:val="14"/>
    <w:qFormat/>
    <w:pPr>
      <w:ind w:left="2000" w:hanging="400"/>
      <w:jc w:val="both"/>
      <w:outlineLvl w:val="7"/>
    </w:pPr>
  </w:style>
  <w:style w:type="paragraph" w:styleId="Heading9">
    <w:name w:val="heading 9"/>
    <w:uiPriority w:val="15"/>
    <w:qFormat/>
    <w:pPr>
      <w:ind w:left="2200" w:hanging="40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5"/>
    <w:qFormat/>
    <w:pPr>
      <w:jc w:val="both"/>
    </w:pPr>
  </w:style>
  <w:style w:type="paragraph" w:styleId="Title">
    <w:name w:val="Title"/>
    <w:uiPriority w:val="6"/>
    <w:qFormat/>
    <w:pPr>
      <w:jc w:val="center"/>
    </w:pPr>
    <w:rPr>
      <w:b/>
      <w:sz w:val="32"/>
      <w:szCs w:val="32"/>
    </w:rPr>
  </w:style>
  <w:style w:type="paragraph" w:styleId="Subtitle">
    <w:name w:val="Subtitle"/>
    <w:uiPriority w:val="16"/>
    <w:qFormat/>
    <w:pPr>
      <w:jc w:val="center"/>
    </w:pPr>
    <w:rPr>
      <w:sz w:val="24"/>
      <w:szCs w:val="24"/>
    </w:rPr>
  </w:style>
  <w:style w:type="character" w:styleId="SubtleEmphasis">
    <w:name w:val="Subtle Emphasis"/>
    <w:uiPriority w:val="17"/>
    <w:qFormat/>
    <w:rPr>
      <w:i/>
      <w:color w:val="404040"/>
      <w:w w:val="100"/>
      <w:sz w:val="20"/>
      <w:szCs w:val="20"/>
      <w:shd w:val="clear" w:color="000000" w:fill="auto"/>
    </w:rPr>
  </w:style>
  <w:style w:type="character" w:styleId="Emphasis">
    <w:name w:val="Emphasis"/>
    <w:uiPriority w:val="18"/>
    <w:qFormat/>
    <w:rPr>
      <w:i/>
      <w:w w:val="100"/>
      <w:sz w:val="20"/>
      <w:szCs w:val="20"/>
      <w:shd w:val="clear" w:color="000000" w:fill="auto"/>
    </w:rPr>
  </w:style>
  <w:style w:type="character" w:styleId="IntenseEmphasis">
    <w:name w:val="Intense Emphasis"/>
    <w:uiPriority w:val="19"/>
    <w:qFormat/>
    <w:rPr>
      <w:i/>
      <w:color w:val="5B9BD5"/>
      <w:w w:val="100"/>
      <w:sz w:val="20"/>
      <w:szCs w:val="20"/>
      <w:shd w:val="clear" w:color="000000" w:fill="auto"/>
    </w:rPr>
  </w:style>
  <w:style w:type="character" w:styleId="Strong">
    <w:name w:val="Strong"/>
    <w:uiPriority w:val="20"/>
    <w:qFormat/>
    <w:rPr>
      <w:b/>
      <w:w w:val="100"/>
      <w:sz w:val="20"/>
      <w:szCs w:val="20"/>
      <w:shd w:val="clear" w:color="000000" w:fill="auto"/>
    </w:rPr>
  </w:style>
  <w:style w:type="paragraph" w:styleId="Quote">
    <w:name w:val="Quote"/>
    <w:uiPriority w:val="21"/>
    <w:qFormat/>
    <w:pPr>
      <w:ind w:left="864" w:right="864"/>
      <w:jc w:val="center"/>
    </w:pPr>
    <w:rPr>
      <w:i/>
      <w:color w:val="404040"/>
    </w:rPr>
  </w:style>
  <w:style w:type="paragraph" w:styleId="IntenseQuote">
    <w:name w:val="Intense Quote"/>
    <w:uiPriority w:val="22"/>
    <w:qFormat/>
    <w:pPr>
      <w:pBdr>
        <w:top w:val="single" w:sz="1" w:space="10" w:color="5B9BD5"/>
        <w:bottom w:val="single" w:sz="1" w:space="10" w:color="5B9BD5"/>
      </w:pBdr>
      <w:ind w:left="950" w:right="950"/>
      <w:jc w:val="center"/>
    </w:pPr>
    <w:rPr>
      <w:i/>
      <w:color w:val="5B9BD5"/>
    </w:rPr>
  </w:style>
  <w:style w:type="character" w:styleId="SubtleReference">
    <w:name w:val="Subtle Reference"/>
    <w:uiPriority w:val="23"/>
    <w:qFormat/>
    <w:rPr>
      <w:smallCaps/>
      <w:color w:val="5A5A5A"/>
      <w:w w:val="100"/>
      <w:sz w:val="20"/>
      <w:szCs w:val="20"/>
      <w:shd w:val="clear" w:color="000000" w:fill="auto"/>
    </w:rPr>
  </w:style>
  <w:style w:type="character" w:styleId="IntenseReference">
    <w:name w:val="Intense Reference"/>
    <w:uiPriority w:val="24"/>
    <w:qFormat/>
    <w:rPr>
      <w:b/>
      <w:smallCaps/>
      <w:color w:val="5B9BD5"/>
      <w:w w:val="100"/>
      <w:sz w:val="20"/>
      <w:szCs w:val="20"/>
      <w:shd w:val="clear" w:color="000000" w:fill="auto"/>
    </w:rPr>
  </w:style>
  <w:style w:type="character" w:styleId="BookTitle">
    <w:name w:val="Book Title"/>
    <w:uiPriority w:val="25"/>
    <w:qFormat/>
    <w:rPr>
      <w:b/>
      <w:i/>
      <w:w w:val="100"/>
      <w:sz w:val="20"/>
      <w:szCs w:val="20"/>
      <w:shd w:val="clear" w:color="000000" w:fill="auto"/>
    </w:rPr>
  </w:style>
  <w:style w:type="paragraph" w:styleId="ListParagraph">
    <w:name w:val="List Paragraph"/>
    <w:uiPriority w:val="26"/>
    <w:qFormat/>
    <w:pPr>
      <w:ind w:left="850"/>
      <w:jc w:val="both"/>
    </w:pPr>
  </w:style>
  <w:style w:type="paragraph" w:styleId="TOCHeading">
    <w:name w:val="TOC Heading"/>
    <w:uiPriority w:val="27"/>
    <w:unhideWhenUsed/>
    <w:qFormat/>
    <w:rPr>
      <w:color w:val="2E74B5"/>
      <w:sz w:val="32"/>
      <w:szCs w:val="32"/>
    </w:rPr>
  </w:style>
  <w:style w:type="paragraph" w:styleId="TOC1">
    <w:name w:val="toc 1"/>
    <w:uiPriority w:val="28"/>
    <w:unhideWhenUsed/>
    <w:qFormat/>
    <w:pPr>
      <w:jc w:val="both"/>
    </w:pPr>
  </w:style>
  <w:style w:type="paragraph" w:styleId="TOC2">
    <w:name w:val="toc 2"/>
    <w:uiPriority w:val="29"/>
    <w:unhideWhenUsed/>
    <w:qFormat/>
    <w:pPr>
      <w:ind w:left="425"/>
      <w:jc w:val="both"/>
    </w:pPr>
  </w:style>
  <w:style w:type="paragraph" w:styleId="TOC3">
    <w:name w:val="toc 3"/>
    <w:uiPriority w:val="30"/>
    <w:unhideWhenUsed/>
    <w:qFormat/>
    <w:pPr>
      <w:ind w:left="850"/>
      <w:jc w:val="both"/>
    </w:pPr>
  </w:style>
  <w:style w:type="paragraph" w:styleId="TOC4">
    <w:name w:val="toc 4"/>
    <w:uiPriority w:val="31"/>
    <w:unhideWhenUsed/>
    <w:qFormat/>
    <w:pPr>
      <w:ind w:left="1275"/>
      <w:jc w:val="both"/>
    </w:pPr>
  </w:style>
  <w:style w:type="paragraph" w:styleId="TOC5">
    <w:name w:val="toc 5"/>
    <w:uiPriority w:val="32"/>
    <w:unhideWhenUsed/>
    <w:qFormat/>
    <w:pPr>
      <w:ind w:left="1700"/>
      <w:jc w:val="both"/>
    </w:pPr>
  </w:style>
  <w:style w:type="paragraph" w:styleId="TOC6">
    <w:name w:val="toc 6"/>
    <w:uiPriority w:val="33"/>
    <w:unhideWhenUsed/>
    <w:qFormat/>
    <w:pPr>
      <w:ind w:left="2125"/>
      <w:jc w:val="both"/>
    </w:pPr>
  </w:style>
  <w:style w:type="paragraph" w:styleId="TOC7">
    <w:name w:val="toc 7"/>
    <w:uiPriority w:val="34"/>
    <w:unhideWhenUsed/>
    <w:qFormat/>
    <w:pPr>
      <w:ind w:left="2550"/>
      <w:jc w:val="both"/>
    </w:pPr>
  </w:style>
  <w:style w:type="paragraph" w:styleId="TOC8">
    <w:name w:val="toc 8"/>
    <w:uiPriority w:val="35"/>
    <w:unhideWhenUsed/>
    <w:qFormat/>
    <w:pPr>
      <w:ind w:left="2975"/>
      <w:jc w:val="both"/>
    </w:pPr>
  </w:style>
  <w:style w:type="paragraph" w:styleId="TOC9">
    <w:name w:val="toc 9"/>
    <w:uiPriority w:val="36"/>
    <w:unhideWhenUsed/>
    <w:qFormat/>
    <w:pPr>
      <w:ind w:left="340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1363</Words>
  <Characters>7502</Characters>
  <Application>Microsoft Office Word</Application>
  <DocSecurity>0</DocSecurity>
  <Lines>62</Lines>
  <Paragraphs>17</Paragraph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>BY GP</Company>
  <LinksUpToDate>false</LinksUpToDate>
  <CharactersWithSpaces>8848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jomargolis</dc:creator>
  <cp:lastModifiedBy>Gabriela Montado</cp:lastModifiedBy>
  <cp:revision>2</cp:revision>
  <dcterms:created xsi:type="dcterms:W3CDTF">2017-09-12T19:38:00Z</dcterms:created>
  <dcterms:modified xsi:type="dcterms:W3CDTF">2017-09-12T19:38:00Z</dcterms:modified>
</cp:coreProperties>
</file>